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2C" w:rsidRPr="0008302C" w:rsidRDefault="0008302C" w:rsidP="0008302C">
      <w:pPr>
        <w:shd w:val="clear" w:color="auto" w:fill="FFFFFF"/>
        <w:spacing w:line="216" w:lineRule="atLeast"/>
        <w:rPr>
          <w:rFonts w:ascii="Tahoma" w:eastAsia="Times New Roman" w:hAnsi="Tahoma" w:cs="Tahoma"/>
          <w:b/>
          <w:bCs/>
          <w:color w:val="A4996C"/>
          <w:sz w:val="21"/>
          <w:szCs w:val="21"/>
        </w:rPr>
      </w:pPr>
      <w:r w:rsidRPr="0008302C">
        <w:rPr>
          <w:rFonts w:ascii="Tahoma" w:eastAsia="Times New Roman" w:hAnsi="Tahoma" w:cs="Tahoma"/>
          <w:b/>
          <w:bCs/>
          <w:color w:val="A4996C"/>
          <w:sz w:val="21"/>
          <w:szCs w:val="21"/>
        </w:rPr>
        <w:t>Meetings of the Committee</w:t>
      </w:r>
    </w:p>
    <w:p w:rsidR="0008302C" w:rsidRDefault="0008302C" w:rsidP="0008302C">
      <w:pPr>
        <w:shd w:val="clear" w:color="auto" w:fill="FFFFFF"/>
        <w:spacing w:line="216" w:lineRule="atLeast"/>
        <w:jc w:val="both"/>
        <w:rPr>
          <w:rFonts w:ascii="Tahoma" w:hAnsi="Tahoma" w:cs="Tahoma"/>
          <w:b/>
          <w:bCs/>
          <w:color w:val="5F6C4B"/>
          <w:sz w:val="18"/>
          <w:szCs w:val="18"/>
        </w:rPr>
      </w:pPr>
    </w:p>
    <w:p w:rsidR="0008302C" w:rsidRDefault="0008302C" w:rsidP="0008302C">
      <w:pPr>
        <w:shd w:val="clear" w:color="auto" w:fill="FFFFFF"/>
        <w:spacing w:line="216" w:lineRule="atLeast"/>
        <w:jc w:val="both"/>
        <w:rPr>
          <w:rFonts w:ascii="Tahoma" w:hAnsi="Tahoma" w:cs="Tahoma"/>
          <w:b/>
          <w:bCs/>
          <w:color w:val="5F6C4B"/>
          <w:sz w:val="18"/>
          <w:szCs w:val="18"/>
        </w:rPr>
      </w:pPr>
      <w:r w:rsidRPr="0008302C">
        <w:rPr>
          <w:rFonts w:ascii="Tahoma" w:hAnsi="Tahoma" w:cs="Tahoma"/>
          <w:b/>
          <w:bCs/>
          <w:color w:val="5F6C4B"/>
          <w:sz w:val="18"/>
          <w:szCs w:val="18"/>
        </w:rPr>
        <w:t>Tunis and Carthage, Tunisia, 1978</w:t>
      </w:r>
    </w:p>
    <w:p w:rsidR="0008302C" w:rsidRDefault="0008302C" w:rsidP="0008302C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</w:p>
    <w:p w:rsidR="0008302C" w:rsidRDefault="0008302C" w:rsidP="0008302C">
      <w:pPr>
        <w:shd w:val="clear" w:color="auto" w:fill="FFFFFF"/>
        <w:spacing w:line="216" w:lineRule="atLeast"/>
        <w:jc w:val="both"/>
        <w:rPr>
          <w:rFonts w:ascii="Tahoma" w:hAnsi="Tahoma" w:cs="Tahoma"/>
          <w:b/>
          <w:bCs/>
          <w:color w:val="5F6C4B"/>
          <w:sz w:val="18"/>
          <w:szCs w:val="18"/>
        </w:rPr>
      </w:pPr>
      <w:r w:rsidRPr="0008302C">
        <w:rPr>
          <w:rFonts w:ascii="Tahoma" w:hAnsi="Tahoma" w:cs="Tahoma"/>
          <w:color w:val="5F6C4B"/>
          <w:sz w:val="18"/>
          <w:szCs w:val="18"/>
        </w:rPr>
        <w:t xml:space="preserve">The second meeting of the Board took place in 1978 in Tunis and Carthage, at the invitation of the </w:t>
      </w:r>
      <w:proofErr w:type="spellStart"/>
      <w:r w:rsidRPr="0008302C">
        <w:rPr>
          <w:rFonts w:ascii="Tahoma" w:hAnsi="Tahoma" w:cs="Tahoma"/>
          <w:color w:val="5F6C4B"/>
          <w:sz w:val="18"/>
          <w:szCs w:val="18"/>
        </w:rPr>
        <w:t>Institut</w:t>
      </w:r>
      <w:proofErr w:type="spellEnd"/>
      <w:r w:rsidRPr="0008302C">
        <w:rPr>
          <w:rFonts w:ascii="Tahoma" w:hAnsi="Tahoma" w:cs="Tahoma"/>
          <w:color w:val="5F6C4B"/>
          <w:sz w:val="18"/>
          <w:szCs w:val="18"/>
        </w:rPr>
        <w:t xml:space="preserve"> National </w:t>
      </w:r>
      <w:proofErr w:type="spellStart"/>
      <w:r w:rsidRPr="0008302C">
        <w:rPr>
          <w:rFonts w:ascii="Tahoma" w:hAnsi="Tahoma" w:cs="Tahoma"/>
          <w:color w:val="5F6C4B"/>
          <w:sz w:val="18"/>
          <w:szCs w:val="18"/>
        </w:rPr>
        <w:t>d’Art</w:t>
      </w:r>
      <w:proofErr w:type="spellEnd"/>
      <w:r w:rsidRPr="0008302C">
        <w:rPr>
          <w:rFonts w:ascii="Tahoma" w:hAnsi="Tahoma" w:cs="Tahoma"/>
          <w:color w:val="5F6C4B"/>
          <w:sz w:val="18"/>
          <w:szCs w:val="18"/>
        </w:rPr>
        <w:t xml:space="preserve"> </w:t>
      </w:r>
      <w:proofErr w:type="gramStart"/>
      <w:r w:rsidRPr="0008302C">
        <w:rPr>
          <w:rFonts w:ascii="Tahoma" w:hAnsi="Tahoma" w:cs="Tahoma"/>
          <w:color w:val="5F6C4B"/>
          <w:sz w:val="18"/>
          <w:szCs w:val="18"/>
        </w:rPr>
        <w:t>et</w:t>
      </w:r>
      <w:proofErr w:type="gramEnd"/>
      <w:r w:rsidRPr="0008302C">
        <w:rPr>
          <w:rFonts w:ascii="Tahoma" w:hAnsi="Tahoma" w:cs="Tahoma"/>
          <w:color w:val="5F6C4B"/>
          <w:sz w:val="18"/>
          <w:szCs w:val="18"/>
        </w:rPr>
        <w:t xml:space="preserve"> </w:t>
      </w:r>
      <w:proofErr w:type="spellStart"/>
      <w:r w:rsidRPr="0008302C">
        <w:rPr>
          <w:rFonts w:ascii="Tahoma" w:hAnsi="Tahoma" w:cs="Tahoma"/>
          <w:color w:val="5F6C4B"/>
          <w:sz w:val="18"/>
          <w:szCs w:val="18"/>
        </w:rPr>
        <w:t>d’Arch</w:t>
      </w:r>
      <w:r w:rsidRPr="0008302C">
        <w:rPr>
          <w:rFonts w:ascii="Tahoma" w:hAnsi="Tahoma" w:cs="Tahoma"/>
          <w:i/>
          <w:iCs/>
          <w:color w:val="5F6C4B"/>
          <w:sz w:val="18"/>
          <w:szCs w:val="18"/>
        </w:rPr>
        <w:t>é</w:t>
      </w:r>
      <w:r w:rsidRPr="0008302C">
        <w:rPr>
          <w:rFonts w:ascii="Tahoma" w:hAnsi="Tahoma" w:cs="Tahoma"/>
          <w:color w:val="5F6C4B"/>
          <w:sz w:val="18"/>
          <w:szCs w:val="18"/>
        </w:rPr>
        <w:t>ologie</w:t>
      </w:r>
      <w:proofErr w:type="spellEnd"/>
      <w:r w:rsidRPr="0008302C">
        <w:rPr>
          <w:rFonts w:ascii="Tahoma" w:hAnsi="Tahoma" w:cs="Tahoma"/>
          <w:color w:val="5F6C4B"/>
          <w:sz w:val="18"/>
          <w:szCs w:val="18"/>
        </w:rPr>
        <w:t>. The main theme of the meeting dealt with themes in vogue at the time, namely problems of detachment and the advantages of the different supports then available.</w:t>
      </w:r>
      <w:r w:rsidRPr="0008302C">
        <w:rPr>
          <w:rFonts w:ascii="Tahoma" w:hAnsi="Tahoma" w:cs="Tahoma"/>
          <w:color w:val="5F6C4B"/>
          <w:sz w:val="18"/>
          <w:szCs w:val="18"/>
        </w:rPr>
        <w:br/>
      </w:r>
      <w:r w:rsidRPr="0008302C">
        <w:rPr>
          <w:rFonts w:ascii="Tahoma" w:hAnsi="Tahoma" w:cs="Tahoma"/>
          <w:color w:val="5F6C4B"/>
          <w:sz w:val="18"/>
          <w:szCs w:val="18"/>
        </w:rPr>
        <w:br/>
      </w:r>
      <w:r w:rsidRPr="0008302C">
        <w:rPr>
          <w:rFonts w:ascii="Tahoma" w:hAnsi="Tahoma" w:cs="Tahoma"/>
          <w:color w:val="5F6C4B"/>
          <w:sz w:val="18"/>
          <w:szCs w:val="18"/>
        </w:rPr>
        <w:br/>
      </w:r>
      <w:proofErr w:type="spellStart"/>
      <w:r w:rsidRPr="0008302C">
        <w:rPr>
          <w:rFonts w:ascii="Tahoma" w:hAnsi="Tahoma" w:cs="Tahoma"/>
          <w:b/>
          <w:bCs/>
          <w:color w:val="5F6C4B"/>
          <w:sz w:val="18"/>
          <w:szCs w:val="18"/>
        </w:rPr>
        <w:t>Périgueux</w:t>
      </w:r>
      <w:proofErr w:type="spellEnd"/>
      <w:r w:rsidRPr="0008302C">
        <w:rPr>
          <w:rFonts w:ascii="Tahoma" w:hAnsi="Tahoma" w:cs="Tahoma"/>
          <w:b/>
          <w:bCs/>
          <w:color w:val="5F6C4B"/>
          <w:sz w:val="18"/>
          <w:szCs w:val="18"/>
        </w:rPr>
        <w:t>, France, 1980</w:t>
      </w:r>
    </w:p>
    <w:p w:rsidR="0008302C" w:rsidRDefault="0008302C" w:rsidP="0008302C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</w:p>
    <w:p w:rsidR="0008302C" w:rsidRPr="0008302C" w:rsidRDefault="0008302C" w:rsidP="0008302C">
      <w:pPr>
        <w:shd w:val="clear" w:color="auto" w:fill="FFFFFF"/>
        <w:spacing w:line="216" w:lineRule="atLeast"/>
        <w:jc w:val="both"/>
        <w:rPr>
          <w:rFonts w:ascii="Tahoma" w:hAnsi="Tahoma" w:cs="Tahoma"/>
          <w:color w:val="5F6C4B"/>
          <w:sz w:val="18"/>
          <w:szCs w:val="18"/>
        </w:rPr>
      </w:pPr>
      <w:r w:rsidRPr="0008302C">
        <w:rPr>
          <w:rFonts w:ascii="Tahoma" w:hAnsi="Tahoma" w:cs="Tahoma"/>
          <w:color w:val="5F6C4B"/>
          <w:sz w:val="18"/>
          <w:szCs w:val="18"/>
        </w:rPr>
        <w:t xml:space="preserve">Two years later, in 1980, the next meeting of the committee was organized at </w:t>
      </w:r>
      <w:proofErr w:type="spellStart"/>
      <w:r w:rsidRPr="0008302C">
        <w:rPr>
          <w:rFonts w:ascii="Tahoma" w:hAnsi="Tahoma" w:cs="Tahoma"/>
          <w:color w:val="5F6C4B"/>
          <w:sz w:val="18"/>
          <w:szCs w:val="18"/>
        </w:rPr>
        <w:t>P</w:t>
      </w:r>
      <w:r w:rsidRPr="0008302C">
        <w:rPr>
          <w:rFonts w:ascii="Tahoma" w:hAnsi="Tahoma" w:cs="Tahoma"/>
          <w:i/>
          <w:iCs/>
          <w:color w:val="5F6C4B"/>
          <w:sz w:val="18"/>
          <w:szCs w:val="18"/>
        </w:rPr>
        <w:t>é</w:t>
      </w:r>
      <w:r w:rsidRPr="0008302C">
        <w:rPr>
          <w:rFonts w:ascii="Tahoma" w:hAnsi="Tahoma" w:cs="Tahoma"/>
          <w:color w:val="5F6C4B"/>
          <w:sz w:val="18"/>
          <w:szCs w:val="18"/>
        </w:rPr>
        <w:t>rigueux</w:t>
      </w:r>
      <w:proofErr w:type="spellEnd"/>
      <w:r w:rsidRPr="0008302C">
        <w:rPr>
          <w:rFonts w:ascii="Tahoma" w:hAnsi="Tahoma" w:cs="Tahoma"/>
          <w:color w:val="5F6C4B"/>
          <w:sz w:val="18"/>
          <w:szCs w:val="18"/>
        </w:rPr>
        <w:t>, in France. The issues brought up in Tunis, were discussed further and the proceedings of these meetings were published as </w:t>
      </w:r>
      <w:hyperlink r:id="rId5" w:history="1">
        <w:r w:rsidRPr="0008302C">
          <w:rPr>
            <w:rFonts w:ascii="Tahoma" w:hAnsi="Tahoma" w:cs="Tahoma"/>
            <w:i/>
            <w:iCs/>
            <w:color w:val="778899"/>
            <w:sz w:val="18"/>
            <w:szCs w:val="18"/>
          </w:rPr>
          <w:t>Mosaics No. 2: Safeguard</w:t>
        </w:r>
      </w:hyperlink>
      <w:r w:rsidRPr="0008302C">
        <w:rPr>
          <w:rFonts w:ascii="Tahoma" w:hAnsi="Tahoma" w:cs="Tahoma"/>
          <w:color w:val="5F6C4B"/>
          <w:sz w:val="18"/>
          <w:szCs w:val="18"/>
        </w:rPr>
        <w:t xml:space="preserve">. Through this meeting and the subsequent publication of its proceedings, the International Committee for the Conservation of Mosaics was, for the first time, taking a stand of its own in the world of conservation, and making evident that a methodology was evolving that was gradually displacing experimentation. This publication also marked an innovation since, apart from the usual English and French </w:t>
      </w:r>
      <w:proofErr w:type="gramStart"/>
      <w:r w:rsidRPr="0008302C">
        <w:rPr>
          <w:rFonts w:ascii="Tahoma" w:hAnsi="Tahoma" w:cs="Tahoma"/>
          <w:color w:val="5F6C4B"/>
          <w:sz w:val="18"/>
          <w:szCs w:val="18"/>
        </w:rPr>
        <w:t>editions,</w:t>
      </w:r>
      <w:proofErr w:type="gramEnd"/>
      <w:r w:rsidRPr="0008302C">
        <w:rPr>
          <w:rFonts w:ascii="Tahoma" w:hAnsi="Tahoma" w:cs="Tahoma"/>
          <w:color w:val="5F6C4B"/>
          <w:sz w:val="18"/>
          <w:szCs w:val="18"/>
        </w:rPr>
        <w:t xml:space="preserve"> it also enjoyed one in Arabic, thanks to Tunisian funding.</w:t>
      </w:r>
    </w:p>
    <w:p w:rsidR="00971CF7" w:rsidRDefault="00971CF7">
      <w:bookmarkStart w:id="0" w:name="_GoBack"/>
      <w:bookmarkEnd w:id="0"/>
    </w:p>
    <w:sectPr w:rsidR="00971CF7" w:rsidSect="00971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C"/>
    <w:rsid w:val="0008302C"/>
    <w:rsid w:val="0097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C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0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8302C"/>
  </w:style>
  <w:style w:type="character" w:styleId="Emphasis">
    <w:name w:val="Emphasis"/>
    <w:basedOn w:val="DefaultParagraphFont"/>
    <w:uiPriority w:val="20"/>
    <w:qFormat/>
    <w:rsid w:val="0008302C"/>
    <w:rPr>
      <w:i/>
      <w:iCs/>
    </w:rPr>
  </w:style>
  <w:style w:type="character" w:styleId="Strong">
    <w:name w:val="Strong"/>
    <w:basedOn w:val="DefaultParagraphFont"/>
    <w:uiPriority w:val="22"/>
    <w:qFormat/>
    <w:rsid w:val="0008302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0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0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08302C"/>
  </w:style>
  <w:style w:type="character" w:styleId="Emphasis">
    <w:name w:val="Emphasis"/>
    <w:basedOn w:val="DefaultParagraphFont"/>
    <w:uiPriority w:val="20"/>
    <w:qFormat/>
    <w:rsid w:val="0008302C"/>
    <w:rPr>
      <w:i/>
      <w:iCs/>
    </w:rPr>
  </w:style>
  <w:style w:type="character" w:styleId="Strong">
    <w:name w:val="Strong"/>
    <w:basedOn w:val="DefaultParagraphFont"/>
    <w:uiPriority w:val="22"/>
    <w:qFormat/>
    <w:rsid w:val="00083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ccm.ac.cy/index.php?link=publicationdetails.php&amp;serial=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2015-02-10T17:33:00Z</dcterms:created>
  <dcterms:modified xsi:type="dcterms:W3CDTF">2015-02-10T17:34:00Z</dcterms:modified>
</cp:coreProperties>
</file>